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28" w:rsidRDefault="00347228"/>
    <w:p w:rsidR="00F45618" w:rsidRPr="00347228" w:rsidRDefault="00347228" w:rsidP="00347228">
      <w:pPr>
        <w:jc w:val="center"/>
        <w:rPr>
          <w:b/>
        </w:rPr>
      </w:pPr>
      <w:r w:rsidRPr="00347228">
        <w:rPr>
          <w:b/>
        </w:rPr>
        <w:t>Longitudinal Evaluation &amp; Summative Assessment Cultivator Phase 2</w:t>
      </w:r>
    </w:p>
    <w:p w:rsidR="00347228" w:rsidRPr="00347228" w:rsidRDefault="00347228" w:rsidP="00347228">
      <w:pPr>
        <w:jc w:val="center"/>
        <w:rPr>
          <w:b/>
        </w:rPr>
      </w:pPr>
      <w:r w:rsidRPr="00347228">
        <w:rPr>
          <w:b/>
        </w:rPr>
        <w:t>January 2020</w:t>
      </w:r>
    </w:p>
    <w:p w:rsidR="00347228" w:rsidRPr="003F5EB9" w:rsidRDefault="005C654C" w:rsidP="00F45618">
      <w:pPr>
        <w:rPr>
          <w:b/>
        </w:rPr>
      </w:pPr>
      <w:r>
        <w:rPr>
          <w:b/>
        </w:rPr>
        <w:t xml:space="preserve">Clarification questions &amp; responses </w:t>
      </w:r>
    </w:p>
    <w:p w:rsidR="00347228" w:rsidRDefault="00347228" w:rsidP="009B1F01">
      <w:pPr>
        <w:pStyle w:val="ListParagraph"/>
        <w:numPr>
          <w:ilvl w:val="0"/>
          <w:numId w:val="1"/>
        </w:numPr>
        <w:spacing w:after="0"/>
        <w:ind w:left="1077"/>
      </w:pPr>
      <w:r>
        <w:t xml:space="preserve">Is the report from the evaluation of Phase 1 publicly available?  </w:t>
      </w:r>
    </w:p>
    <w:p w:rsidR="00FB2231" w:rsidRPr="00FB2231" w:rsidRDefault="00FB2231" w:rsidP="009B1F01">
      <w:pPr>
        <w:pStyle w:val="ListParagraph"/>
        <w:ind w:left="1080"/>
        <w:rPr>
          <w:color w:val="365F91" w:themeColor="accent1" w:themeShade="BF"/>
        </w:rPr>
      </w:pPr>
      <w:r w:rsidRPr="00FB2231">
        <w:rPr>
          <w:color w:val="365F91" w:themeColor="accent1" w:themeShade="BF"/>
        </w:rPr>
        <w:t xml:space="preserve">The </w:t>
      </w:r>
      <w:r>
        <w:rPr>
          <w:color w:val="365F91" w:themeColor="accent1" w:themeShade="BF"/>
        </w:rPr>
        <w:t>executive</w:t>
      </w:r>
      <w:r w:rsidR="000362DF">
        <w:rPr>
          <w:color w:val="365F91" w:themeColor="accent1" w:themeShade="BF"/>
        </w:rPr>
        <w:t xml:space="preserve"> summary of the</w:t>
      </w:r>
      <w:r>
        <w:rPr>
          <w:color w:val="365F91" w:themeColor="accent1" w:themeShade="BF"/>
        </w:rPr>
        <w:t xml:space="preserve"> final evaluation report of Cultivator Phase 1 is posted alongside this document.</w:t>
      </w:r>
    </w:p>
    <w:p w:rsidR="00347228" w:rsidRDefault="00347228" w:rsidP="00347228">
      <w:pPr>
        <w:pStyle w:val="ListParagraph"/>
        <w:ind w:left="1080"/>
      </w:pPr>
    </w:p>
    <w:p w:rsidR="00347228" w:rsidRDefault="00347228" w:rsidP="009B1F01">
      <w:pPr>
        <w:pStyle w:val="ListParagraph"/>
        <w:numPr>
          <w:ilvl w:val="0"/>
          <w:numId w:val="1"/>
        </w:numPr>
        <w:spacing w:after="0"/>
        <w:ind w:left="1077"/>
      </w:pPr>
      <w:r>
        <w:t xml:space="preserve">Are there any lessons highlighted by the evaluation of Phase 1 that you wish to investigate further? </w:t>
      </w:r>
    </w:p>
    <w:p w:rsidR="00347228" w:rsidRPr="00B24665" w:rsidRDefault="00B24665" w:rsidP="00B24665">
      <w:pPr>
        <w:ind w:left="108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The </w:t>
      </w:r>
      <w:r w:rsidR="009D6BDC">
        <w:rPr>
          <w:color w:val="365F91" w:themeColor="accent1" w:themeShade="BF"/>
        </w:rPr>
        <w:t>findings of the Cultivator Phase 1 evaluation have fed into the shaping of Cultivator Phase 2 and the associated evaluation brief.</w:t>
      </w:r>
    </w:p>
    <w:p w:rsidR="003F5EB9" w:rsidRDefault="003F5EB9" w:rsidP="003F5EB9">
      <w:pPr>
        <w:pStyle w:val="ListParagraph"/>
        <w:numPr>
          <w:ilvl w:val="0"/>
          <w:numId w:val="1"/>
        </w:numPr>
      </w:pPr>
      <w:r>
        <w:t>Are an</w:t>
      </w:r>
      <w:r w:rsidR="00347228">
        <w:t xml:space="preserve">y of the project targets </w:t>
      </w:r>
      <w:r>
        <w:t>likely to have been</w:t>
      </w:r>
      <w:r w:rsidR="00347228">
        <w:t xml:space="preserve"> achieved by the interim evaluation stage</w:t>
      </w:r>
      <w:r>
        <w:t xml:space="preserve">? </w:t>
      </w:r>
      <w:r w:rsidR="00347228">
        <w:t xml:space="preserve"> </w:t>
      </w:r>
    </w:p>
    <w:p w:rsidR="00BC60CB" w:rsidRPr="00BC60CB" w:rsidRDefault="00BC60CB" w:rsidP="00BC60CB">
      <w:pPr>
        <w:pStyle w:val="ListParagraph"/>
        <w:ind w:left="108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Unlikely, </w:t>
      </w:r>
      <w:r w:rsidR="009B1F01">
        <w:rPr>
          <w:color w:val="365F91" w:themeColor="accent1" w:themeShade="BF"/>
        </w:rPr>
        <w:t>contracted output targets are profiled to deliver over the length of the programme.</w:t>
      </w:r>
    </w:p>
    <w:p w:rsidR="003F5EB9" w:rsidRDefault="003F5EB9" w:rsidP="003F5EB9">
      <w:pPr>
        <w:pStyle w:val="ListParagraph"/>
        <w:ind w:left="1080"/>
      </w:pPr>
    </w:p>
    <w:p w:rsidR="00347228" w:rsidRDefault="003F5EB9" w:rsidP="009B1F01">
      <w:pPr>
        <w:pStyle w:val="ListParagraph"/>
        <w:numPr>
          <w:ilvl w:val="0"/>
          <w:numId w:val="1"/>
        </w:numPr>
        <w:spacing w:after="0"/>
        <w:ind w:left="1077"/>
      </w:pPr>
      <w:r>
        <w:t xml:space="preserve">Is Creative </w:t>
      </w:r>
      <w:proofErr w:type="spellStart"/>
      <w:r>
        <w:t>Kernow</w:t>
      </w:r>
      <w:proofErr w:type="spellEnd"/>
      <w:r>
        <w:t xml:space="preserve"> VAT registered?</w:t>
      </w:r>
    </w:p>
    <w:p w:rsidR="00347228" w:rsidRDefault="00B24665" w:rsidP="00B24665">
      <w:pPr>
        <w:ind w:left="108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No, Creative </w:t>
      </w:r>
      <w:proofErr w:type="spellStart"/>
      <w:r>
        <w:rPr>
          <w:color w:val="365F91" w:themeColor="accent1" w:themeShade="BF"/>
        </w:rPr>
        <w:t>Kernow</w:t>
      </w:r>
      <w:proofErr w:type="spellEnd"/>
      <w:r>
        <w:rPr>
          <w:color w:val="365F91" w:themeColor="accent1" w:themeShade="BF"/>
        </w:rPr>
        <w:t xml:space="preserve"> is not VAT registered.</w:t>
      </w:r>
    </w:p>
    <w:p w:rsidR="009D6BDC" w:rsidRPr="009B1F01" w:rsidRDefault="00FB2231" w:rsidP="00FB2231">
      <w:pPr>
        <w:pStyle w:val="ListParagraph"/>
        <w:numPr>
          <w:ilvl w:val="0"/>
          <w:numId w:val="1"/>
        </w:numPr>
        <w:spacing w:after="0"/>
      </w:pPr>
      <w:r w:rsidRPr="00FB2231">
        <w:t>Can you provide any more information about what Arts Council England’s requi</w:t>
      </w:r>
      <w:r>
        <w:t>rements are for this evaluation and / or w</w:t>
      </w:r>
      <w:r w:rsidR="009B1F01" w:rsidRPr="009B1F01">
        <w:t>hich Art Council England funding stream does the ACE funding draw on?</w:t>
      </w:r>
    </w:p>
    <w:p w:rsidR="00FB2231" w:rsidRDefault="00FB2231" w:rsidP="009B1F01">
      <w:pPr>
        <w:ind w:left="1080"/>
        <w:rPr>
          <w:color w:val="365F91" w:themeColor="accent1" w:themeShade="BF"/>
        </w:rPr>
      </w:pPr>
      <w:r w:rsidRPr="00FB2231">
        <w:rPr>
          <w:color w:val="365F91" w:themeColor="accent1" w:themeShade="BF"/>
        </w:rPr>
        <w:t>Cultivator’s ACE funding comes from their ‘National Lottery Project Grants – over £100,000’ funding stream. As such it is a requirement of the funding that the project demonstrates national impact, dissemination of best practice and shared learning for the sector.  For further details please see (</w:t>
      </w:r>
      <w:hyperlink r:id="rId9" w:history="1">
        <w:r w:rsidRPr="00F81C67">
          <w:rPr>
            <w:rStyle w:val="Hyperlink"/>
          </w:rPr>
          <w:t>https://www.artscouncil.org.uk/sites/default/files/download-file/ACNLPG_Over_%C2%A315K_30May2019_0.pdf</w:t>
        </w:r>
      </w:hyperlink>
      <w:r>
        <w:rPr>
          <w:color w:val="365F91" w:themeColor="accent1" w:themeShade="BF"/>
        </w:rPr>
        <w:t xml:space="preserve"> </w:t>
      </w:r>
      <w:r w:rsidRPr="00FB2231">
        <w:rPr>
          <w:color w:val="365F91" w:themeColor="accent1" w:themeShade="BF"/>
        </w:rPr>
        <w:t>).</w:t>
      </w:r>
    </w:p>
    <w:p w:rsidR="00F45618" w:rsidRDefault="00FB2231" w:rsidP="00FB2231">
      <w:pPr>
        <w:pStyle w:val="ListParagraph"/>
        <w:numPr>
          <w:ilvl w:val="0"/>
          <w:numId w:val="1"/>
        </w:numPr>
      </w:pPr>
      <w:r w:rsidRPr="00FB2231">
        <w:t>Can you provide more information about the evaluation of the national programme (mentioned on page 2)?</w:t>
      </w:r>
    </w:p>
    <w:p w:rsidR="00FB2231" w:rsidRPr="00FB2231" w:rsidRDefault="00FB2231" w:rsidP="00FB2231">
      <w:pPr>
        <w:pStyle w:val="ListParagraph"/>
        <w:ind w:left="1080"/>
        <w:rPr>
          <w:color w:val="365F91" w:themeColor="accent1" w:themeShade="BF"/>
        </w:rPr>
      </w:pPr>
      <w:r w:rsidRPr="00FB2231">
        <w:rPr>
          <w:color w:val="365F91" w:themeColor="accent1" w:themeShade="BF"/>
        </w:rPr>
        <w:t xml:space="preserve">With regard to the value &amp; use of project derived summative assessments in supporting the evaluation of the national ERDF operational programme, the ERDF Summative Assessment Guidance (ESIF-GN-1-033) states: </w:t>
      </w:r>
    </w:p>
    <w:p w:rsidR="00FB2231" w:rsidRPr="00FB2231" w:rsidRDefault="00FB2231" w:rsidP="00FB2231">
      <w:pPr>
        <w:pStyle w:val="ListParagraph"/>
        <w:ind w:left="1440"/>
        <w:rPr>
          <w:color w:val="365F91" w:themeColor="accent1" w:themeShade="BF"/>
        </w:rPr>
      </w:pPr>
      <w:r w:rsidRPr="00FB2231">
        <w:rPr>
          <w:color w:val="365F91" w:themeColor="accent1" w:themeShade="BF"/>
        </w:rPr>
        <w:t>‘It will also provide project level evidence which, combined with</w:t>
      </w:r>
    </w:p>
    <w:p w:rsidR="00CE1D9F" w:rsidRPr="00F45618" w:rsidRDefault="00FB2231" w:rsidP="007F25C9">
      <w:pPr>
        <w:pStyle w:val="ListParagraph"/>
        <w:ind w:left="1440"/>
      </w:pPr>
      <w:proofErr w:type="gramStart"/>
      <w:r w:rsidRPr="00FB2231">
        <w:rPr>
          <w:color w:val="365F91" w:themeColor="accent1" w:themeShade="BF"/>
        </w:rPr>
        <w:t>national</w:t>
      </w:r>
      <w:proofErr w:type="gramEnd"/>
      <w:r w:rsidRPr="00FB2231">
        <w:rPr>
          <w:color w:val="365F91" w:themeColor="accent1" w:themeShade="BF"/>
        </w:rPr>
        <w:t xml:space="preserve"> evidence of progress and impact, will result in stronger evidence of the overall</w:t>
      </w:r>
      <w:r>
        <w:rPr>
          <w:color w:val="365F91" w:themeColor="accent1" w:themeShade="BF"/>
        </w:rPr>
        <w:t xml:space="preserve"> </w:t>
      </w:r>
      <w:r w:rsidRPr="00FB2231">
        <w:rPr>
          <w:color w:val="365F91" w:themeColor="accent1" w:themeShade="BF"/>
        </w:rPr>
        <w:t>impact and effectiveness of the ERDF operational programme across England.’</w:t>
      </w:r>
      <w:bookmarkStart w:id="0" w:name="_GoBack"/>
      <w:bookmarkEnd w:id="0"/>
    </w:p>
    <w:sectPr w:rsidR="00CE1D9F" w:rsidRPr="00F45618" w:rsidSect="00F45618">
      <w:headerReference w:type="first" r:id="rId10"/>
      <w:footerReference w:type="first" r:id="rId11"/>
      <w:pgSz w:w="11906" w:h="16838"/>
      <w:pgMar w:top="195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FF" w:rsidRDefault="006D3BFF" w:rsidP="00F45618">
      <w:pPr>
        <w:spacing w:after="0" w:line="240" w:lineRule="auto"/>
      </w:pPr>
      <w:r>
        <w:separator/>
      </w:r>
    </w:p>
  </w:endnote>
  <w:endnote w:type="continuationSeparator" w:id="0">
    <w:p w:rsidR="006D3BFF" w:rsidRDefault="006D3BFF" w:rsidP="00F4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33" w:rsidRDefault="00F85833" w:rsidP="00F85833">
    <w:pPr>
      <w:pStyle w:val="Footer"/>
      <w:ind w:left="1440" w:firstLine="1440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5FDD55" wp14:editId="1ABAB5FC">
          <wp:simplePos x="0" y="0"/>
          <wp:positionH relativeFrom="column">
            <wp:posOffset>-705485</wp:posOffset>
          </wp:positionH>
          <wp:positionV relativeFrom="paragraph">
            <wp:posOffset>64770</wp:posOffset>
          </wp:positionV>
          <wp:extent cx="4731385" cy="502920"/>
          <wp:effectExtent l="0" t="0" r="0" b="0"/>
          <wp:wrapSquare wrapText="bothSides"/>
          <wp:docPr id="1" name="Picture 1" descr="funder logos ESIF &amp; HM 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er logos ESIF &amp; HM G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138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5833" w:rsidRPr="00F45618" w:rsidRDefault="00F85833" w:rsidP="00F85833">
    <w:pPr>
      <w:pStyle w:val="Footer"/>
      <w:ind w:left="1440" w:firstLine="1440"/>
      <w:jc w:val="right"/>
      <w:rPr>
        <w:rFonts w:cs="Arial"/>
        <w:sz w:val="16"/>
        <w:szCs w:val="18"/>
      </w:rPr>
    </w:pPr>
    <w:r w:rsidRPr="00F45618">
      <w:rPr>
        <w:rFonts w:cs="Arial"/>
        <w:sz w:val="16"/>
        <w:szCs w:val="18"/>
      </w:rPr>
      <w:t>Creative Kernow Ltd.</w:t>
    </w:r>
  </w:p>
  <w:p w:rsidR="00F85833" w:rsidRPr="00F45618" w:rsidRDefault="00F85833" w:rsidP="00F85833">
    <w:pPr>
      <w:pStyle w:val="Footer"/>
      <w:ind w:left="1440" w:firstLine="1440"/>
      <w:jc w:val="right"/>
      <w:rPr>
        <w:rFonts w:cs="Arial"/>
        <w:sz w:val="16"/>
        <w:szCs w:val="18"/>
      </w:rPr>
    </w:pPr>
    <w:r w:rsidRPr="00F45618">
      <w:rPr>
        <w:rFonts w:cs="Arial"/>
        <w:sz w:val="16"/>
        <w:szCs w:val="18"/>
      </w:rPr>
      <w:t xml:space="preserve"> Registered in England No. 1727731.</w:t>
    </w:r>
  </w:p>
  <w:p w:rsidR="00F85833" w:rsidRPr="00F85833" w:rsidRDefault="00F85833" w:rsidP="00F85833">
    <w:pPr>
      <w:pStyle w:val="Footer"/>
      <w:tabs>
        <w:tab w:val="left" w:pos="3690"/>
      </w:tabs>
      <w:ind w:left="1440" w:firstLine="1440"/>
      <w:rPr>
        <w:rFonts w:cs="Arial"/>
        <w:sz w:val="20"/>
      </w:rPr>
    </w:pPr>
    <w:r w:rsidRPr="00F45618">
      <w:rPr>
        <w:rFonts w:cs="Arial"/>
        <w:sz w:val="16"/>
        <w:szCs w:val="18"/>
      </w:rPr>
      <w:tab/>
    </w:r>
    <w:r w:rsidRPr="00F45618">
      <w:rPr>
        <w:rFonts w:cs="Arial"/>
        <w:sz w:val="16"/>
        <w:szCs w:val="18"/>
      </w:rPr>
      <w:tab/>
    </w:r>
    <w:r w:rsidRPr="00F45618">
      <w:rPr>
        <w:rFonts w:cs="Arial"/>
        <w:sz w:val="16"/>
        <w:szCs w:val="18"/>
      </w:rPr>
      <w:tab/>
      <w:t xml:space="preserve"> Charity No. 292138.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FF" w:rsidRDefault="006D3BFF" w:rsidP="00F45618">
      <w:pPr>
        <w:spacing w:after="0" w:line="240" w:lineRule="auto"/>
      </w:pPr>
      <w:r>
        <w:separator/>
      </w:r>
    </w:p>
  </w:footnote>
  <w:footnote w:type="continuationSeparator" w:id="0">
    <w:p w:rsidR="006D3BFF" w:rsidRDefault="006D3BFF" w:rsidP="00F4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33" w:rsidRDefault="00F8583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E90E2CB" wp14:editId="77596234">
          <wp:simplePos x="0" y="0"/>
          <wp:positionH relativeFrom="column">
            <wp:posOffset>2450465</wp:posOffset>
          </wp:positionH>
          <wp:positionV relativeFrom="paragraph">
            <wp:posOffset>-201930</wp:posOffset>
          </wp:positionV>
          <wp:extent cx="810260" cy="947420"/>
          <wp:effectExtent l="0" t="0" r="8890" b="508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C50"/>
    <w:multiLevelType w:val="hybridMultilevel"/>
    <w:tmpl w:val="1514E89A"/>
    <w:lvl w:ilvl="0" w:tplc="F1CEF72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10B21"/>
    <w:multiLevelType w:val="hybridMultilevel"/>
    <w:tmpl w:val="C0201B94"/>
    <w:lvl w:ilvl="0" w:tplc="676E87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34909"/>
    <w:multiLevelType w:val="hybridMultilevel"/>
    <w:tmpl w:val="DC30B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10D9B"/>
    <w:multiLevelType w:val="hybridMultilevel"/>
    <w:tmpl w:val="325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FF"/>
    <w:rsid w:val="000362DF"/>
    <w:rsid w:val="00347228"/>
    <w:rsid w:val="003F5EB9"/>
    <w:rsid w:val="00405F5A"/>
    <w:rsid w:val="00537F50"/>
    <w:rsid w:val="005C654C"/>
    <w:rsid w:val="005E3D0D"/>
    <w:rsid w:val="006D3BFF"/>
    <w:rsid w:val="007F25C9"/>
    <w:rsid w:val="009B1F01"/>
    <w:rsid w:val="009D6BDC"/>
    <w:rsid w:val="00B24665"/>
    <w:rsid w:val="00BC60CB"/>
    <w:rsid w:val="00CE1D9F"/>
    <w:rsid w:val="00F45618"/>
    <w:rsid w:val="00F85833"/>
    <w:rsid w:val="00FB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61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18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7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61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5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18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47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rtscouncil.org.uk/sites/default/files/download-file/ACNLPG_Over_%C2%A315K_30May2019_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hase%202%20Project%20Delivery\Admin\Resources\Headed%20document%20paper\Headed%20document%20template%20ESIF%20-%20f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8010-7883-4C76-9170-A7F60550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document template ESIF - fpo</Template>
  <TotalTime>81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Chambers</dc:creator>
  <cp:lastModifiedBy>Sara Chambers</cp:lastModifiedBy>
  <cp:revision>7</cp:revision>
  <dcterms:created xsi:type="dcterms:W3CDTF">2020-01-23T08:02:00Z</dcterms:created>
  <dcterms:modified xsi:type="dcterms:W3CDTF">2020-01-30T09:06:00Z</dcterms:modified>
</cp:coreProperties>
</file>